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376" w:rsidRPr="000A04A1" w:rsidRDefault="005E2376" w:rsidP="005E2376">
      <w:pPr>
        <w:autoSpaceDE w:val="0"/>
        <w:autoSpaceDN w:val="0"/>
        <w:adjustRightInd w:val="0"/>
        <w:jc w:val="center"/>
        <w:rPr>
          <w:b/>
          <w:bCs/>
        </w:rPr>
      </w:pPr>
      <w:r w:rsidRPr="000A04A1">
        <w:rPr>
          <w:b/>
          <w:bCs/>
        </w:rPr>
        <w:t>ФАКУЛТЕТ МЕДИЦИНСКИХ НАУКА У КРАГУЈЕВЦУ</w:t>
      </w:r>
    </w:p>
    <w:p w:rsidR="005E2376" w:rsidRPr="000A04A1" w:rsidRDefault="005E2376" w:rsidP="005E2376">
      <w:pPr>
        <w:autoSpaceDE w:val="0"/>
        <w:autoSpaceDN w:val="0"/>
        <w:adjustRightInd w:val="0"/>
        <w:jc w:val="center"/>
        <w:rPr>
          <w:b/>
          <w:bCs/>
        </w:rPr>
      </w:pPr>
      <w:r w:rsidRPr="000A04A1">
        <w:rPr>
          <w:b/>
          <w:bCs/>
        </w:rPr>
        <w:t>ИНТЕГРИСАНЕ АКАДЕМСКЕ СТУДИЈЕ ФАРМАЦИЈЕ</w:t>
      </w:r>
    </w:p>
    <w:p w:rsidR="005E2376" w:rsidRPr="000A04A1" w:rsidRDefault="005E2376" w:rsidP="005E2376">
      <w:pPr>
        <w:autoSpaceDE w:val="0"/>
        <w:autoSpaceDN w:val="0"/>
        <w:adjustRightInd w:val="0"/>
        <w:jc w:val="center"/>
        <w:rPr>
          <w:b/>
          <w:bCs/>
        </w:rPr>
      </w:pPr>
    </w:p>
    <w:p w:rsidR="00671A18" w:rsidRDefault="00671A18" w:rsidP="005E2376">
      <w:pPr>
        <w:autoSpaceDE w:val="0"/>
        <w:autoSpaceDN w:val="0"/>
        <w:adjustRightInd w:val="0"/>
        <w:jc w:val="center"/>
        <w:rPr>
          <w:b/>
          <w:bCs/>
          <w:lang/>
        </w:rPr>
      </w:pPr>
    </w:p>
    <w:p w:rsidR="005E2376" w:rsidRPr="000A04A1" w:rsidRDefault="005E2376" w:rsidP="005E2376">
      <w:pPr>
        <w:autoSpaceDE w:val="0"/>
        <w:autoSpaceDN w:val="0"/>
        <w:adjustRightInd w:val="0"/>
        <w:jc w:val="center"/>
        <w:rPr>
          <w:b/>
          <w:bCs/>
        </w:rPr>
      </w:pPr>
      <w:r w:rsidRPr="000A04A1">
        <w:rPr>
          <w:b/>
          <w:bCs/>
        </w:rPr>
        <w:t xml:space="preserve">Б16 - </w:t>
      </w:r>
      <w:r w:rsidRPr="000A04A1">
        <w:rPr>
          <w:b/>
        </w:rPr>
        <w:t>Ф</w:t>
      </w:r>
      <w:r w:rsidRPr="000A04A1">
        <w:rPr>
          <w:b/>
          <w:lang w:val="sr-Cyrl-CS"/>
        </w:rPr>
        <w:t>АРМАКОЛОГИЈА 1</w:t>
      </w:r>
    </w:p>
    <w:p w:rsidR="005E2376" w:rsidRPr="000A04A1" w:rsidRDefault="005E2376" w:rsidP="005E2376">
      <w:pPr>
        <w:autoSpaceDE w:val="0"/>
        <w:autoSpaceDN w:val="0"/>
        <w:adjustRightInd w:val="0"/>
        <w:jc w:val="center"/>
        <w:rPr>
          <w:b/>
          <w:bCs/>
        </w:rPr>
      </w:pPr>
    </w:p>
    <w:p w:rsidR="005E2376" w:rsidRPr="000A04A1" w:rsidRDefault="005E2376" w:rsidP="005E2376">
      <w:pPr>
        <w:autoSpaceDE w:val="0"/>
        <w:autoSpaceDN w:val="0"/>
        <w:adjustRightInd w:val="0"/>
        <w:jc w:val="center"/>
        <w:rPr>
          <w:b/>
          <w:bCs/>
        </w:rPr>
      </w:pPr>
      <w:r w:rsidRPr="000A04A1">
        <w:rPr>
          <w:b/>
          <w:bCs/>
        </w:rPr>
        <w:t>ПИТАЊА ЗА НЕДЕЉНУ АКТИВНОСТ СТУДЕНАТА</w:t>
      </w:r>
    </w:p>
    <w:p w:rsidR="005E2376" w:rsidRPr="000A04A1" w:rsidRDefault="005E2376" w:rsidP="005E2376">
      <w:pPr>
        <w:pStyle w:val="BodyText2"/>
        <w:jc w:val="center"/>
        <w:rPr>
          <w:rFonts w:ascii="Times New Roman" w:hAnsi="Times New Roman"/>
          <w:b/>
          <w:bCs/>
          <w:szCs w:val="24"/>
        </w:rPr>
      </w:pPr>
    </w:p>
    <w:p w:rsidR="005E2376" w:rsidRPr="000A04A1" w:rsidRDefault="005E2376" w:rsidP="005E2376">
      <w:pPr>
        <w:pStyle w:val="BodyText2"/>
        <w:jc w:val="center"/>
        <w:rPr>
          <w:rFonts w:ascii="Times New Roman" w:hAnsi="Times New Roman"/>
          <w:b/>
          <w:szCs w:val="24"/>
        </w:rPr>
      </w:pPr>
      <w:r w:rsidRPr="000A04A1">
        <w:rPr>
          <w:rFonts w:ascii="Times New Roman" w:hAnsi="Times New Roman"/>
          <w:b/>
          <w:bCs/>
          <w:szCs w:val="24"/>
        </w:rPr>
        <w:t>ОСМА НЕДЕЉА НАСТАВЕ</w:t>
      </w:r>
    </w:p>
    <w:p w:rsidR="003D70AF" w:rsidRPr="000A04A1" w:rsidRDefault="003D70AF" w:rsidP="003D70AF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3D70AF" w:rsidRPr="000A04A1" w:rsidRDefault="003D70AF" w:rsidP="003D70AF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1. </w:t>
      </w:r>
      <w:r w:rsidRPr="000A04A1">
        <w:tab/>
      </w:r>
      <w:proofErr w:type="spellStart"/>
      <w:r w:rsidRPr="000A04A1">
        <w:t>Епилепсија</w:t>
      </w:r>
      <w:proofErr w:type="spellEnd"/>
      <w:r w:rsidRPr="000A04A1">
        <w:t xml:space="preserve">: </w:t>
      </w:r>
      <w:proofErr w:type="spellStart"/>
      <w:r w:rsidRPr="000A04A1">
        <w:t>дефиниција</w:t>
      </w:r>
      <w:proofErr w:type="spellEnd"/>
      <w:r w:rsidRPr="000A04A1">
        <w:t xml:space="preserve">, </w:t>
      </w:r>
      <w:proofErr w:type="spellStart"/>
      <w:r w:rsidRPr="000A04A1">
        <w:t>учесталост</w:t>
      </w:r>
      <w:proofErr w:type="spellEnd"/>
      <w:r w:rsidRPr="000A04A1">
        <w:t xml:space="preserve">, </w:t>
      </w:r>
      <w:proofErr w:type="spellStart"/>
      <w:r w:rsidRPr="000A04A1">
        <w:t>подела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2. </w:t>
      </w:r>
      <w:r w:rsidRPr="000A04A1">
        <w:tab/>
      </w:r>
      <w:proofErr w:type="spellStart"/>
      <w:r w:rsidRPr="000A04A1">
        <w:t>Избор</w:t>
      </w:r>
      <w:proofErr w:type="spellEnd"/>
      <w:r w:rsidRPr="000A04A1">
        <w:t xml:space="preserve"> </w:t>
      </w:r>
      <w:proofErr w:type="spellStart"/>
      <w:r w:rsidRPr="000A04A1">
        <w:t>антиепилептика</w:t>
      </w:r>
      <w:proofErr w:type="spellEnd"/>
      <w:r w:rsidRPr="000A04A1">
        <w:t xml:space="preserve"> (АЕЛ) и </w:t>
      </w:r>
      <w:proofErr w:type="spellStart"/>
      <w:r w:rsidRPr="000A04A1">
        <w:t>општи</w:t>
      </w:r>
      <w:proofErr w:type="spellEnd"/>
      <w:r w:rsidRPr="000A04A1">
        <w:t xml:space="preserve"> </w:t>
      </w:r>
      <w:proofErr w:type="spellStart"/>
      <w:r w:rsidRPr="000A04A1">
        <w:t>принципи</w:t>
      </w:r>
      <w:proofErr w:type="spellEnd"/>
      <w:r w:rsidRPr="000A04A1">
        <w:t xml:space="preserve"> </w:t>
      </w:r>
      <w:proofErr w:type="spellStart"/>
      <w:r w:rsidRPr="000A04A1">
        <w:t>примене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3. </w:t>
      </w:r>
      <w:r w:rsidRPr="000A04A1">
        <w:tab/>
      </w:r>
      <w:proofErr w:type="spellStart"/>
      <w:r w:rsidRPr="000A04A1">
        <w:t>Карбамазепин</w:t>
      </w:r>
      <w:proofErr w:type="spellEnd"/>
      <w:r w:rsidRPr="000A04A1">
        <w:t xml:space="preserve"> и </w:t>
      </w:r>
      <w:proofErr w:type="spellStart"/>
      <w:r w:rsidRPr="000A04A1">
        <w:t>окскарбазепин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4. </w:t>
      </w:r>
      <w:r w:rsidRPr="000A04A1">
        <w:tab/>
      </w:r>
      <w:proofErr w:type="spellStart"/>
      <w:r w:rsidRPr="000A04A1">
        <w:t>Фенитоин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5. </w:t>
      </w:r>
      <w:r w:rsidRPr="000A04A1">
        <w:tab/>
      </w:r>
      <w:proofErr w:type="spellStart"/>
      <w:r w:rsidRPr="000A04A1">
        <w:t>Фенобарбитон</w:t>
      </w:r>
      <w:proofErr w:type="spellEnd"/>
      <w:r w:rsidRPr="000A04A1">
        <w:t xml:space="preserve"> и </w:t>
      </w:r>
      <w:proofErr w:type="spellStart"/>
      <w:r w:rsidRPr="000A04A1">
        <w:t>примидон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6. </w:t>
      </w:r>
      <w:r w:rsidRPr="000A04A1">
        <w:tab/>
      </w:r>
      <w:proofErr w:type="spellStart"/>
      <w:r w:rsidRPr="000A04A1">
        <w:t>Валпроична</w:t>
      </w:r>
      <w:proofErr w:type="spellEnd"/>
      <w:r w:rsidRPr="000A04A1">
        <w:t xml:space="preserve"> </w:t>
      </w:r>
      <w:proofErr w:type="spellStart"/>
      <w:r w:rsidRPr="000A04A1">
        <w:t>киселина</w:t>
      </w:r>
      <w:proofErr w:type="spellEnd"/>
      <w:r w:rsidRPr="000A04A1">
        <w:t xml:space="preserve"> и </w:t>
      </w:r>
      <w:proofErr w:type="spellStart"/>
      <w:r w:rsidRPr="000A04A1">
        <w:t>њене</w:t>
      </w:r>
      <w:proofErr w:type="spellEnd"/>
      <w:r w:rsidRPr="000A04A1">
        <w:t xml:space="preserve"> </w:t>
      </w:r>
      <w:proofErr w:type="spellStart"/>
      <w:r w:rsidRPr="000A04A1">
        <w:t>соли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7. </w:t>
      </w:r>
      <w:r w:rsidRPr="000A04A1">
        <w:tab/>
      </w:r>
      <w:proofErr w:type="spellStart"/>
      <w:r w:rsidRPr="000A04A1">
        <w:t>Етосукцимид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8. </w:t>
      </w:r>
      <w:r w:rsidRPr="000A04A1">
        <w:tab/>
      </w:r>
      <w:proofErr w:type="spellStart"/>
      <w:r w:rsidRPr="000A04A1">
        <w:t>Ламотригин</w:t>
      </w:r>
      <w:proofErr w:type="spellEnd"/>
      <w:r w:rsidRPr="000A04A1">
        <w:t xml:space="preserve"> и </w:t>
      </w:r>
      <w:proofErr w:type="spellStart"/>
      <w:r w:rsidRPr="000A04A1">
        <w:t>топирамат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9. </w:t>
      </w:r>
      <w:r w:rsidRPr="000A04A1">
        <w:tab/>
      </w:r>
      <w:proofErr w:type="spellStart"/>
      <w:r w:rsidRPr="000A04A1">
        <w:t>Габапентин</w:t>
      </w:r>
      <w:proofErr w:type="spellEnd"/>
      <w:r w:rsidRPr="000A04A1">
        <w:t xml:space="preserve"> и </w:t>
      </w:r>
      <w:proofErr w:type="spellStart"/>
      <w:r w:rsidRPr="000A04A1">
        <w:t>вигабатрин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>10.</w:t>
      </w:r>
      <w:r w:rsidRPr="000A04A1">
        <w:tab/>
      </w:r>
      <w:proofErr w:type="spellStart"/>
      <w:r w:rsidRPr="000A04A1">
        <w:t>Тиагабин</w:t>
      </w:r>
      <w:proofErr w:type="gramStart"/>
      <w:r w:rsidRPr="000A04A1">
        <w:t>,езогабин</w:t>
      </w:r>
      <w:proofErr w:type="spellEnd"/>
      <w:proofErr w:type="gramEnd"/>
      <w:r w:rsidRPr="000A04A1">
        <w:t xml:space="preserve"> и </w:t>
      </w:r>
      <w:proofErr w:type="spellStart"/>
      <w:r w:rsidRPr="000A04A1">
        <w:t>леветирацетам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11. </w:t>
      </w:r>
      <w:r w:rsidRPr="000A04A1">
        <w:tab/>
      </w:r>
      <w:proofErr w:type="spellStart"/>
      <w:r w:rsidRPr="000A04A1">
        <w:t>Примена</w:t>
      </w:r>
      <w:proofErr w:type="spellEnd"/>
      <w:r w:rsidRPr="000A04A1">
        <w:t xml:space="preserve"> АЕЛ у </w:t>
      </w:r>
      <w:proofErr w:type="spellStart"/>
      <w:r w:rsidRPr="000A04A1">
        <w:t>трудноћи</w:t>
      </w:r>
      <w:proofErr w:type="spellEnd"/>
      <w:r w:rsidRPr="000A04A1">
        <w:t xml:space="preserve"> и </w:t>
      </w:r>
      <w:proofErr w:type="spellStart"/>
      <w:r w:rsidRPr="000A04A1">
        <w:t>лактацији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12. </w:t>
      </w:r>
      <w:r w:rsidRPr="000A04A1">
        <w:tab/>
      </w:r>
      <w:proofErr w:type="spellStart"/>
      <w:r w:rsidRPr="000A04A1">
        <w:t>Примена</w:t>
      </w:r>
      <w:proofErr w:type="spellEnd"/>
      <w:r w:rsidRPr="000A04A1">
        <w:t xml:space="preserve"> ТДМ-а </w:t>
      </w:r>
      <w:proofErr w:type="spellStart"/>
      <w:r w:rsidRPr="000A04A1">
        <w:t>код</w:t>
      </w:r>
      <w:proofErr w:type="spellEnd"/>
      <w:r w:rsidRPr="000A04A1">
        <w:t xml:space="preserve"> </w:t>
      </w:r>
      <w:proofErr w:type="spellStart"/>
      <w:r w:rsidRPr="000A04A1">
        <w:t>антиепилептика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13. </w:t>
      </w:r>
      <w:r w:rsidRPr="000A04A1">
        <w:tab/>
      </w:r>
      <w:proofErr w:type="spellStart"/>
      <w:r w:rsidRPr="000A04A1">
        <w:t>Паркинсонова</w:t>
      </w:r>
      <w:proofErr w:type="spellEnd"/>
      <w:r w:rsidRPr="000A04A1">
        <w:t xml:space="preserve"> </w:t>
      </w:r>
      <w:proofErr w:type="spellStart"/>
      <w:r w:rsidRPr="000A04A1">
        <w:t>болест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14. </w:t>
      </w:r>
      <w:r w:rsidRPr="000A04A1">
        <w:tab/>
      </w:r>
      <w:proofErr w:type="spellStart"/>
      <w:r w:rsidRPr="000A04A1">
        <w:t>Општи</w:t>
      </w:r>
      <w:proofErr w:type="spellEnd"/>
      <w:r w:rsidRPr="000A04A1">
        <w:t xml:space="preserve"> </w:t>
      </w:r>
      <w:proofErr w:type="spellStart"/>
      <w:r w:rsidRPr="000A04A1">
        <w:t>принципи</w:t>
      </w:r>
      <w:proofErr w:type="spellEnd"/>
      <w:r w:rsidRPr="000A04A1">
        <w:t xml:space="preserve"> </w:t>
      </w:r>
      <w:proofErr w:type="spellStart"/>
      <w:r w:rsidRPr="000A04A1">
        <w:t>лечења</w:t>
      </w:r>
      <w:proofErr w:type="spellEnd"/>
      <w:r w:rsidRPr="000A04A1">
        <w:t xml:space="preserve"> </w:t>
      </w:r>
      <w:proofErr w:type="spellStart"/>
      <w:r w:rsidRPr="000A04A1">
        <w:t>Паркинсоновe</w:t>
      </w:r>
      <w:proofErr w:type="spellEnd"/>
      <w:r w:rsidRPr="000A04A1">
        <w:t xml:space="preserve"> </w:t>
      </w:r>
      <w:proofErr w:type="spellStart"/>
      <w:r w:rsidRPr="000A04A1">
        <w:t>болест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15. </w:t>
      </w:r>
      <w:r w:rsidRPr="000A04A1">
        <w:tab/>
      </w:r>
      <w:proofErr w:type="spellStart"/>
      <w:r w:rsidRPr="000A04A1">
        <w:t>Леводопа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16. </w:t>
      </w:r>
      <w:r w:rsidRPr="000A04A1">
        <w:tab/>
      </w:r>
      <w:proofErr w:type="spellStart"/>
      <w:r w:rsidRPr="000A04A1">
        <w:t>Инхибитори</w:t>
      </w:r>
      <w:proofErr w:type="spellEnd"/>
      <w:r w:rsidRPr="000A04A1">
        <w:t xml:space="preserve"> ЦОМТ-а</w:t>
      </w:r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17. </w:t>
      </w:r>
      <w:r w:rsidRPr="000A04A1">
        <w:tab/>
      </w:r>
      <w:proofErr w:type="spellStart"/>
      <w:r w:rsidRPr="000A04A1">
        <w:t>Инхибитори</w:t>
      </w:r>
      <w:proofErr w:type="spellEnd"/>
      <w:r w:rsidRPr="000A04A1">
        <w:t xml:space="preserve"> МАО Б</w:t>
      </w:r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18. </w:t>
      </w:r>
      <w:r w:rsidRPr="000A04A1">
        <w:tab/>
      </w:r>
      <w:proofErr w:type="spellStart"/>
      <w:r w:rsidRPr="000A04A1">
        <w:t>Агонисти</w:t>
      </w:r>
      <w:proofErr w:type="spellEnd"/>
      <w:r w:rsidRPr="000A04A1">
        <w:t xml:space="preserve"> </w:t>
      </w:r>
      <w:proofErr w:type="spellStart"/>
      <w:r w:rsidRPr="000A04A1">
        <w:t>допаминских</w:t>
      </w:r>
      <w:proofErr w:type="spellEnd"/>
      <w:r w:rsidRPr="000A04A1">
        <w:t xml:space="preserve"> </w:t>
      </w:r>
      <w:proofErr w:type="spellStart"/>
      <w:r w:rsidRPr="000A04A1">
        <w:t>рецептора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19. </w:t>
      </w:r>
      <w:r w:rsidRPr="000A04A1">
        <w:tab/>
      </w:r>
      <w:proofErr w:type="spellStart"/>
      <w:r w:rsidRPr="000A04A1">
        <w:t>Апоморфин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20. </w:t>
      </w:r>
      <w:r w:rsidRPr="000A04A1">
        <w:tab/>
      </w:r>
      <w:proofErr w:type="spellStart"/>
      <w:r w:rsidRPr="000A04A1">
        <w:t>Амантадин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21. </w:t>
      </w:r>
      <w:r w:rsidRPr="000A04A1">
        <w:tab/>
      </w:r>
      <w:proofErr w:type="spellStart"/>
      <w:r w:rsidRPr="000A04A1">
        <w:t>Блокатори</w:t>
      </w:r>
      <w:proofErr w:type="spellEnd"/>
      <w:r w:rsidRPr="000A04A1">
        <w:t xml:space="preserve"> </w:t>
      </w:r>
      <w:proofErr w:type="spellStart"/>
      <w:r w:rsidRPr="000A04A1">
        <w:t>мускаринских</w:t>
      </w:r>
      <w:proofErr w:type="spellEnd"/>
      <w:r w:rsidRPr="000A04A1">
        <w:t xml:space="preserve"> </w:t>
      </w:r>
      <w:proofErr w:type="spellStart"/>
      <w:r w:rsidRPr="000A04A1">
        <w:t>рецептора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22. </w:t>
      </w:r>
      <w:r w:rsidRPr="000A04A1">
        <w:tab/>
      </w:r>
      <w:proofErr w:type="spellStart"/>
      <w:r w:rsidRPr="000A04A1">
        <w:t>Статус</w:t>
      </w:r>
      <w:proofErr w:type="spellEnd"/>
      <w:r w:rsidRPr="000A04A1">
        <w:t xml:space="preserve"> </w:t>
      </w:r>
      <w:proofErr w:type="spellStart"/>
      <w:r w:rsidRPr="000A04A1">
        <w:t>епилептикус</w:t>
      </w:r>
      <w:proofErr w:type="spellEnd"/>
      <w:r w:rsidRPr="000A04A1">
        <w:t xml:space="preserve"> - </w:t>
      </w:r>
      <w:proofErr w:type="spellStart"/>
      <w:r w:rsidRPr="000A04A1">
        <w:t>општи</w:t>
      </w:r>
      <w:proofErr w:type="spellEnd"/>
      <w:r w:rsidRPr="000A04A1">
        <w:t xml:space="preserve"> </w:t>
      </w:r>
      <w:proofErr w:type="spellStart"/>
      <w:r w:rsidRPr="000A04A1">
        <w:t>принципи</w:t>
      </w:r>
      <w:proofErr w:type="spellEnd"/>
      <w:r w:rsidRPr="000A04A1">
        <w:t xml:space="preserve"> </w:t>
      </w:r>
      <w:proofErr w:type="spellStart"/>
      <w:r w:rsidRPr="000A04A1">
        <w:t>лечења</w:t>
      </w:r>
      <w:proofErr w:type="spellEnd"/>
    </w:p>
    <w:p w:rsidR="003D70AF" w:rsidRPr="000A04A1" w:rsidRDefault="003D70AF" w:rsidP="003D70AF">
      <w:pPr>
        <w:tabs>
          <w:tab w:val="left" w:pos="426"/>
        </w:tabs>
        <w:autoSpaceDE w:val="0"/>
        <w:autoSpaceDN w:val="0"/>
        <w:adjustRightInd w:val="0"/>
      </w:pPr>
      <w:r w:rsidRPr="000A04A1">
        <w:t xml:space="preserve">23. </w:t>
      </w:r>
      <w:r w:rsidRPr="000A04A1">
        <w:tab/>
      </w:r>
      <w:proofErr w:type="spellStart"/>
      <w:r w:rsidRPr="000A04A1">
        <w:t>Бензодиазепини</w:t>
      </w:r>
      <w:proofErr w:type="spellEnd"/>
      <w:r w:rsidRPr="000A04A1">
        <w:t xml:space="preserve"> у </w:t>
      </w:r>
      <w:proofErr w:type="spellStart"/>
      <w:r w:rsidRPr="000A04A1">
        <w:t>лечењу</w:t>
      </w:r>
      <w:proofErr w:type="spellEnd"/>
      <w:r w:rsidRPr="000A04A1">
        <w:t xml:space="preserve"> </w:t>
      </w:r>
      <w:proofErr w:type="spellStart"/>
      <w:r w:rsidRPr="000A04A1">
        <w:t>статуса</w:t>
      </w:r>
      <w:proofErr w:type="spellEnd"/>
      <w:r w:rsidRPr="000A04A1">
        <w:t xml:space="preserve"> </w:t>
      </w:r>
      <w:proofErr w:type="spellStart"/>
      <w:r w:rsidRPr="000A04A1">
        <w:t>епилептикуса</w:t>
      </w:r>
      <w:proofErr w:type="spellEnd"/>
    </w:p>
    <w:p w:rsidR="003A64C1" w:rsidRPr="000A04A1" w:rsidRDefault="003D70AF" w:rsidP="003D70AF">
      <w:pPr>
        <w:tabs>
          <w:tab w:val="left" w:pos="426"/>
        </w:tabs>
      </w:pPr>
      <w:r w:rsidRPr="000A04A1">
        <w:t xml:space="preserve">24. </w:t>
      </w:r>
      <w:r w:rsidRPr="000A04A1">
        <w:tab/>
      </w:r>
      <w:proofErr w:type="spellStart"/>
      <w:r w:rsidRPr="000A04A1">
        <w:t>Антиепилептици</w:t>
      </w:r>
      <w:proofErr w:type="spellEnd"/>
      <w:r w:rsidRPr="000A04A1">
        <w:t xml:space="preserve"> у </w:t>
      </w:r>
      <w:proofErr w:type="spellStart"/>
      <w:r w:rsidRPr="000A04A1">
        <w:t>лечењу</w:t>
      </w:r>
      <w:proofErr w:type="spellEnd"/>
      <w:r w:rsidRPr="000A04A1">
        <w:t xml:space="preserve"> </w:t>
      </w:r>
      <w:proofErr w:type="spellStart"/>
      <w:r w:rsidRPr="000A04A1">
        <w:t>статуса</w:t>
      </w:r>
      <w:proofErr w:type="spellEnd"/>
      <w:r w:rsidRPr="000A04A1">
        <w:t xml:space="preserve"> </w:t>
      </w:r>
      <w:proofErr w:type="spellStart"/>
      <w:r w:rsidRPr="000A04A1">
        <w:t>епилептикуса</w:t>
      </w:r>
      <w:proofErr w:type="spellEnd"/>
    </w:p>
    <w:sectPr w:rsidR="003A64C1" w:rsidRPr="000A04A1" w:rsidSect="003A64C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YU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70AF"/>
    <w:rsid w:val="00021755"/>
    <w:rsid w:val="00097271"/>
    <w:rsid w:val="000A04A1"/>
    <w:rsid w:val="00326613"/>
    <w:rsid w:val="003A64C1"/>
    <w:rsid w:val="003D70AF"/>
    <w:rsid w:val="004A78F1"/>
    <w:rsid w:val="004F7A02"/>
    <w:rsid w:val="005E2376"/>
    <w:rsid w:val="00651CFB"/>
    <w:rsid w:val="00671A18"/>
    <w:rsid w:val="00877AF6"/>
    <w:rsid w:val="00DD5AB9"/>
    <w:rsid w:val="00EC5328"/>
    <w:rsid w:val="00FA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328"/>
    <w:pPr>
      <w:ind w:left="720"/>
      <w:contextualSpacing/>
    </w:pPr>
  </w:style>
  <w:style w:type="paragraph" w:styleId="BodyText2">
    <w:name w:val="Body Text 2"/>
    <w:basedOn w:val="Normal"/>
    <w:link w:val="BodyText2Char"/>
    <w:rsid w:val="005E2376"/>
    <w:pPr>
      <w:jc w:val="both"/>
    </w:pPr>
    <w:rPr>
      <w:rFonts w:ascii="Times New Roman YU" w:eastAsia="Times New Roman" w:hAnsi="Times New Roman YU"/>
      <w:szCs w:val="20"/>
    </w:rPr>
  </w:style>
  <w:style w:type="character" w:customStyle="1" w:styleId="BodyText2Char">
    <w:name w:val="Body Text 2 Char"/>
    <w:basedOn w:val="DefaultParagraphFont"/>
    <w:link w:val="BodyText2"/>
    <w:rsid w:val="005E2376"/>
    <w:rPr>
      <w:rFonts w:ascii="Times New Roman YU" w:eastAsia="Times New Roman" w:hAnsi="Times New Roman YU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 Folic</cp:lastModifiedBy>
  <cp:revision>4</cp:revision>
  <dcterms:created xsi:type="dcterms:W3CDTF">2017-01-30T12:15:00Z</dcterms:created>
  <dcterms:modified xsi:type="dcterms:W3CDTF">2017-01-30T17:34:00Z</dcterms:modified>
</cp:coreProperties>
</file>